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eastAsia"/>
                <w:b/>
                <w:color w:val="404040"/>
                <w:sz w:val="24"/>
                <w:szCs w:val="24"/>
                <w:lang w:val="kk-KZ" w:eastAsia="zh-CN"/>
              </w:rPr>
              <w:t>Чаймұрат Дамир Арайұлы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eastAsia"/>
                <w:b/>
                <w:color w:val="313a43"/>
                <w:sz w:val="24"/>
                <w:szCs w:val="24"/>
                <w:lang w:val="kk-KZ" w:eastAsia="zh-CN"/>
              </w:rPr>
              <w:t>Журналист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 w:hint="eastAsia"/>
                <w:b/>
                <w:color w:val="404040"/>
                <w:sz w:val="24"/>
                <w:szCs w:val="24"/>
                <w:lang w:val="kk-KZ" w:eastAsia="zh-CN"/>
              </w:rPr>
              <w:t>Журналистика және ақпарат ісі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cs="Times New Roman" w:eastAsia="Times New Roman" w:hAnsi="Times New Roman" w:hint="eastAsia"/>
                <w:color w:val="404040"/>
                <w:sz w:val="24"/>
                <w:szCs w:val="24"/>
                <w:lang w:val="kk-KZ" w:eastAsia="zh-CN"/>
              </w:rPr>
              <w:t>ыркүйек</w:t>
            </w:r>
            <w:r>
              <w:rPr>
                <w:rFonts w:ascii="Times New Roman" w:cs="Times New Roman" w:eastAsia="Times New Roman" w:hAnsi="Times New Roman" w:hint="default"/>
                <w:color w:val="404040"/>
                <w:sz w:val="24"/>
                <w:szCs w:val="24"/>
                <w:lang w:val="en-US" w:eastAsia="zh-CN"/>
              </w:rPr>
              <w:t xml:space="preserve">-2023 </w:t>
            </w:r>
            <w:r>
              <w:rPr>
                <w:rFonts w:ascii="Times New Roman" w:cs="Times New Roman" w:eastAsia="Times New Roman" w:hAnsi="Times New Roman" w:hint="eastAsia"/>
                <w:color w:val="404040"/>
                <w:sz w:val="24"/>
                <w:szCs w:val="24"/>
                <w:lang w:val="en-US" w:eastAsia="zh-CN"/>
              </w:rPr>
              <w:t>қаңтар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 w:hint="eastAsia"/>
                <w:b/>
                <w:color w:val="404040"/>
                <w:sz w:val="24"/>
                <w:szCs w:val="24"/>
                <w:lang w:val="kk-KZ" w:eastAsia="zh-CN"/>
              </w:rPr>
              <w:t>Жетісу облысы</w:t>
            </w:r>
            <w:r>
              <w:rPr>
                <w:rFonts w:ascii="Times New Roman" w:cs="Times New Roman" w:eastAsia="Times New Roman" w:hAnsi="Times New Roman" w:hint="default"/>
                <w:b/>
                <w:color w:val="404040"/>
                <w:sz w:val="24"/>
                <w:szCs w:val="24"/>
                <w:lang w:val="en-US" w:eastAsia="zh-CN"/>
              </w:rPr>
              <w:t xml:space="preserve">,  </w:t>
            </w:r>
            <w:r>
              <w:rPr>
                <w:rFonts w:ascii="Times New Roman" w:cs="Times New Roman" w:eastAsia="Times New Roman" w:hAnsi="Times New Roman" w:hint="eastAsia"/>
                <w:b/>
                <w:color w:val="404040"/>
                <w:sz w:val="24"/>
                <w:szCs w:val="24"/>
                <w:lang w:val="en-US" w:eastAsia="zh-CN"/>
              </w:rPr>
              <w:t>Талдықорған қаласы Ілияс Жансүгіров атындағы-Жетісу университеті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eastAsia"/>
                <w:b/>
                <w:sz w:val="24"/>
                <w:szCs w:val="24"/>
                <w:lang w:val="kk-KZ" w:eastAsia="zh-CN"/>
              </w:rPr>
              <w:t>Гуманитарлық жоғарғы мектебі</w:t>
            </w:r>
            <w:r>
              <w:rPr>
                <w:rFonts w:ascii="Times New Roman" w:cs="Times New Roman" w:eastAsia="Arial" w:hAnsi="Times New Roman" w:hint="default"/>
                <w:b/>
                <w:sz w:val="24"/>
                <w:szCs w:val="24"/>
                <w:lang w:val="en-US" w:eastAsia="zh-CN"/>
              </w:rPr>
              <w:t xml:space="preserve">, </w:t>
            </w:r>
            <w:r>
              <w:rPr>
                <w:rFonts w:ascii="Times New Roman" w:cs="Times New Roman" w:eastAsia="Arial" w:hAnsi="Times New Roman" w:hint="eastAsia"/>
                <w:b/>
                <w:sz w:val="24"/>
                <w:szCs w:val="24"/>
                <w:lang w:val="en-US" w:eastAsia="zh-CN"/>
              </w:rPr>
              <w:t>журналистика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eastAsia"/>
                <w:sz w:val="24"/>
                <w:szCs w:val="24"/>
                <w:lang w:val="kk-KZ" w:eastAsia="zh-CN"/>
              </w:rPr>
              <w:t>Іш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 w:hint="eastAsia"/>
                <w:sz w:val="24"/>
                <w:szCs w:val="24"/>
                <w:lang w:val="kk-KZ" w:eastAsia="zh-CN"/>
              </w:rPr>
              <w:t>Гуманитарлық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eastAsia="zh-CN"/>
              </w:rPr>
              <w:t>• Видео түсірілім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val="en-US" w:eastAsia="zh-CN"/>
              </w:rPr>
              <w:t>фото түсірілім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val="en-US" w:eastAsia="zh-CN"/>
              </w:rPr>
              <w:t>өңдеу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 xml:space="preserve">.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деңгейінде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ағылшын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тілін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сөйлеу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 Adobe </w:t>
            </w: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val="en-US" w:eastAsia="zh-CN"/>
              </w:rPr>
              <w:t>бағдарламалары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 xml:space="preserve">, da vinci resolve, figma,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eastAsia"/>
                <w:b/>
                <w:sz w:val="24"/>
                <w:szCs w:val="24"/>
                <w:lang w:val="kk-KZ" w:eastAsia="zh-CN"/>
              </w:rPr>
              <w:t>Журналистика и репортерское дело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 w:hint="eastAsia"/>
                <w:color w:val="404040"/>
                <w:sz w:val="24"/>
                <w:szCs w:val="24"/>
                <w:lang w:eastAsia="zh-CN"/>
              </w:rPr>
              <w:t>Жетысуская обл</w:t>
            </w:r>
            <w:r>
              <w:rPr>
                <w:rFonts w:ascii="Times New Roman" w:cs="Times New Roman" w:eastAsia="Times New Roman" w:hAnsi="Times New Roman" w:hint="default"/>
                <w:color w:val="404040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ascii="Times New Roman" w:cs="Times New Roman" w:eastAsia="Times New Roman" w:hAnsi="Times New Roman" w:hint="eastAsia"/>
                <w:color w:val="404040"/>
                <w:sz w:val="24"/>
                <w:szCs w:val="24"/>
                <w:lang w:val="en-US" w:eastAsia="zh-CN"/>
              </w:rPr>
              <w:t xml:space="preserve"> г</w:t>
            </w:r>
            <w:r>
              <w:rPr>
                <w:rFonts w:ascii="Times New Roman" w:cs="Times New Roman" w:eastAsia="Times New Roman" w:hAnsi="Times New Roman" w:hint="default"/>
                <w:color w:val="404040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ascii="Times New Roman" w:cs="Times New Roman" w:eastAsia="Times New Roman" w:hAnsi="Times New Roman" w:hint="eastAsia"/>
                <w:color w:val="404040"/>
                <w:sz w:val="24"/>
                <w:szCs w:val="24"/>
                <w:lang w:val="en-US" w:eastAsia="zh-CN"/>
              </w:rPr>
              <w:t>Талдыкорган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>
            <w:pPr>
              <w:pStyle w:val="style0"/>
              <w:shd w:val="clear" w:color="auto" w:fill="ffffff"/>
              <w:spacing w:after="0"/>
              <w:ind w:left="72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eastAsia"/>
                <w:b/>
                <w:color w:val="404040"/>
                <w:sz w:val="24"/>
                <w:szCs w:val="24"/>
                <w:lang w:eastAsia="zh-CN"/>
              </w:rPr>
              <w:t>Ж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етысуский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en-US" w:eastAsia="ru-RU"/>
              </w:rPr>
              <w:t>2.9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eastAsia="zh-CN"/>
              </w:rPr>
              <w:t>Видео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 xml:space="preserve">,  </w:t>
            </w: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val="en-US" w:eastAsia="zh-CN"/>
              </w:rPr>
              <w:t>фотосъемка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 xml:space="preserve">, </w:t>
            </w: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val="en-US" w:eastAsia="zh-CN"/>
              </w:rPr>
              <w:t xml:space="preserve">монтаж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>(</w:t>
            </w: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val="en-US" w:eastAsia="zh-CN"/>
              </w:rPr>
              <w:t>обработка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 xml:space="preserve">) 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cs="Times New Roman" w:eastAsia="Times New Roman" w:hAnsi="Times New Roman" w:hint="eastAsia"/>
                <w:color w:val="000000"/>
                <w:sz w:val="24"/>
                <w:szCs w:val="24"/>
                <w:lang w:eastAsia="zh-CN"/>
              </w:rPr>
              <w:t>А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zh-CN"/>
              </w:rPr>
              <w:t>2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 w:hint="eastAsia"/>
                <w:color w:val="7f7f7f"/>
                <w:sz w:val="24"/>
                <w:szCs w:val="24"/>
                <w:lang w:eastAsia="zh-CN"/>
              </w:rPr>
              <w:t xml:space="preserve">Программы </w:t>
            </w:r>
            <w:r>
              <w:rPr>
                <w:rFonts w:ascii="Times New Roman" w:cs="Times New Roman" w:eastAsia="Times New Roman" w:hAnsi="Times New Roman" w:hint="default"/>
                <w:color w:val="7f7f7f"/>
                <w:sz w:val="24"/>
                <w:szCs w:val="24"/>
                <w:lang w:val="en-US" w:eastAsia="zh-CN"/>
              </w:rPr>
              <w:t>adobe,  figma,  davinci resolve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Chaimurat Damir Arai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Journalist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87780549708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dchaimurat0@gmail.com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Journalism 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Faculty of Humanities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2.9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Video filming, photo edit.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Adobe photoshop, indesign, lightroom. Figma...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Words>574</Words>
  <Pages>6</Pages>
  <Characters>1938</Characters>
  <Application>WPS Office</Application>
  <DocSecurity>0</DocSecurity>
  <Paragraphs>137</Paragraphs>
  <ScaleCrop>false</ScaleCrop>
  <LinksUpToDate>false</LinksUpToDate>
  <CharactersWithSpaces>2165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2022-10-19T06:23:00Z</dcterms:created>
  <dc:creator>561565</dc:creator>
  <lastModifiedBy>vivo 1820</lastModifiedBy>
  <dcterms:modified xsi:type="dcterms:W3CDTF">2022-12-28T15:19:49Z</dcterms:modified>
  <revision>32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f952e4efa9c144478c1c74375cbad7d4</vt:lpwstr>
  </property>
</Properties>
</file>